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FFEAC">
      <w:pPr>
        <w:adjustRightInd w:val="0"/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  <w:bookmarkStart w:id="2" w:name="_GoBack"/>
      <w:r>
        <w:rPr>
          <w:rFonts w:hint="eastAsia" w:ascii="仿宋" w:hAnsi="仿宋" w:eastAsia="仿宋"/>
          <w:b/>
          <w:sz w:val="32"/>
          <w:szCs w:val="32"/>
        </w:rPr>
        <w:t>附件1</w:t>
      </w:r>
    </w:p>
    <w:p w14:paraId="5B6D3528">
      <w:pPr>
        <w:tabs>
          <w:tab w:val="center" w:pos="6979"/>
          <w:tab w:val="left" w:pos="11269"/>
        </w:tabs>
        <w:spacing w:line="66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倍悦文创公司公开竞聘岗位职责表</w:t>
      </w:r>
    </w:p>
    <w:bookmarkEnd w:id="2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357"/>
        <w:gridCol w:w="753"/>
        <w:gridCol w:w="4872"/>
        <w:gridCol w:w="954"/>
      </w:tblGrid>
      <w:tr w14:paraId="728CE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586" w:type="dxa"/>
            <w:noWrap w:val="0"/>
            <w:vAlign w:val="center"/>
          </w:tcPr>
          <w:p w14:paraId="2D4C49CD">
            <w:pPr>
              <w:spacing w:line="400" w:lineRule="exac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357" w:type="dxa"/>
            <w:noWrap w:val="0"/>
            <w:vAlign w:val="center"/>
          </w:tcPr>
          <w:p w14:paraId="62CE578B">
            <w:pPr>
              <w:spacing w:line="400" w:lineRule="exac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753" w:type="dxa"/>
            <w:noWrap w:val="0"/>
            <w:vAlign w:val="center"/>
          </w:tcPr>
          <w:p w14:paraId="285CF664">
            <w:pPr>
              <w:spacing w:line="400" w:lineRule="exac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职级</w:t>
            </w:r>
          </w:p>
        </w:tc>
        <w:tc>
          <w:tcPr>
            <w:tcW w:w="4872" w:type="dxa"/>
            <w:noWrap w:val="0"/>
            <w:vAlign w:val="center"/>
          </w:tcPr>
          <w:p w14:paraId="28BAADB9">
            <w:pPr>
              <w:spacing w:line="400" w:lineRule="exac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职责</w:t>
            </w:r>
          </w:p>
        </w:tc>
        <w:tc>
          <w:tcPr>
            <w:tcW w:w="954" w:type="dxa"/>
            <w:noWrap w:val="0"/>
            <w:vAlign w:val="center"/>
          </w:tcPr>
          <w:p w14:paraId="20F2534B">
            <w:pPr>
              <w:spacing w:line="400" w:lineRule="exac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职数</w:t>
            </w:r>
          </w:p>
        </w:tc>
      </w:tr>
      <w:tr w14:paraId="4E305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586" w:type="dxa"/>
            <w:noWrap w:val="0"/>
            <w:vAlign w:val="center"/>
          </w:tcPr>
          <w:p w14:paraId="24B7EE5C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357" w:type="dxa"/>
            <w:noWrap w:val="0"/>
            <w:vAlign w:val="center"/>
          </w:tcPr>
          <w:p w14:paraId="5061FFD9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教育文创部牵头人</w:t>
            </w:r>
          </w:p>
        </w:tc>
        <w:tc>
          <w:tcPr>
            <w:tcW w:w="753" w:type="dxa"/>
            <w:noWrap w:val="0"/>
            <w:vAlign w:val="center"/>
          </w:tcPr>
          <w:p w14:paraId="2D8900C1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A5</w:t>
            </w:r>
          </w:p>
        </w:tc>
        <w:tc>
          <w:tcPr>
            <w:tcW w:w="4872" w:type="dxa"/>
            <w:noWrap w:val="0"/>
            <w:vAlign w:val="center"/>
          </w:tcPr>
          <w:p w14:paraId="208244ED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1.负责公司教育文创产品线战略规划、选题策划、立项报批、</w:t>
            </w:r>
            <w:bookmarkStart w:id="0" w:name="OLE_LINK2"/>
            <w:bookmarkStart w:id="1" w:name="OLE_LINK3"/>
            <w:r>
              <w:rPr>
                <w:rFonts w:hint="eastAsia" w:ascii="仿宋" w:hAnsi="仿宋" w:eastAsia="仿宋" w:cs="宋体"/>
                <w:sz w:val="24"/>
                <w:szCs w:val="24"/>
              </w:rPr>
              <w:t>产品方案设计、组织生产、宣传文案起草及IP打造和商标注册，保障公司教育类产品供应与销售</w:t>
            </w:r>
            <w:bookmarkEnd w:id="0"/>
            <w:bookmarkEnd w:id="1"/>
            <w:r>
              <w:rPr>
                <w:rFonts w:hint="eastAsia" w:ascii="仿宋" w:hAnsi="仿宋" w:eastAsia="仿宋" w:cs="宋体"/>
                <w:sz w:val="24"/>
                <w:szCs w:val="24"/>
              </w:rPr>
              <w:t>；</w:t>
            </w:r>
          </w:p>
          <w:p w14:paraId="77EF828A">
            <w:pPr>
              <w:spacing w:line="40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2.负责政企定制项目业务的承接，提供一体化服务；</w:t>
            </w:r>
          </w:p>
          <w:p w14:paraId="67EE2F1A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3.负责教育文创产品的意识形态、质量、版权把关管理；</w:t>
            </w:r>
          </w:p>
          <w:p w14:paraId="295543DF">
            <w:pPr>
              <w:spacing w:line="40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4.负责省内外新华渠道、政企业务渠道的拓展和服务。</w:t>
            </w:r>
          </w:p>
          <w:p w14:paraId="06821F17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5.负责外部优质品牌产品的引进和合作，充实公司产品线，提升服务能力。</w:t>
            </w:r>
          </w:p>
          <w:p w14:paraId="2D8FE1D5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  <w:tc>
          <w:tcPr>
            <w:tcW w:w="954" w:type="dxa"/>
            <w:noWrap w:val="0"/>
            <w:vAlign w:val="center"/>
          </w:tcPr>
          <w:p w14:paraId="406485B9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</w:tr>
      <w:tr w14:paraId="210A1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0" w:hRule="atLeast"/>
        </w:trPr>
        <w:tc>
          <w:tcPr>
            <w:tcW w:w="586" w:type="dxa"/>
            <w:noWrap w:val="0"/>
            <w:vAlign w:val="center"/>
          </w:tcPr>
          <w:p w14:paraId="65CDAA97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357" w:type="dxa"/>
            <w:noWrap w:val="0"/>
            <w:vAlign w:val="center"/>
          </w:tcPr>
          <w:p w14:paraId="1E8A6D8D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文旅文创部牵头人</w:t>
            </w:r>
          </w:p>
        </w:tc>
        <w:tc>
          <w:tcPr>
            <w:tcW w:w="753" w:type="dxa"/>
            <w:noWrap w:val="0"/>
            <w:vAlign w:val="center"/>
          </w:tcPr>
          <w:p w14:paraId="36229E10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A5</w:t>
            </w:r>
          </w:p>
        </w:tc>
        <w:tc>
          <w:tcPr>
            <w:tcW w:w="4872" w:type="dxa"/>
            <w:noWrap w:val="0"/>
            <w:vAlign w:val="center"/>
          </w:tcPr>
          <w:p w14:paraId="38386A47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1.负责“倍阅文创在线”平台建设与运营，充分整合外部资源，组织赛事、展览、培训等活动，加强品牌宣传；</w:t>
            </w:r>
          </w:p>
          <w:p w14:paraId="2D48C048">
            <w:pPr>
              <w:spacing w:line="40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2.负责公司文旅产品线战略规划、选题策划、立项报批、产品方案设计、组织生产、宣传文案起草及IP打造和商标注册，保障公司文旅文创类产品供应与销售；</w:t>
            </w:r>
          </w:p>
          <w:p w14:paraId="0EF06905">
            <w:pPr>
              <w:spacing w:line="40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3.负责线上线下文旅渠道拓展和承接外部文旅市场化定制项目，提供一体化服务；</w:t>
            </w:r>
          </w:p>
          <w:p w14:paraId="53D018F2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4.负责公司品牌与活动宣传，积极组织文旅文创产品组织参加全国各类文创评选活动，力争获奖，提升公司品牌影响力；</w:t>
            </w:r>
          </w:p>
          <w:p w14:paraId="0F7E588B">
            <w:pPr>
              <w:spacing w:line="40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5.负责协助博物馆文创工作室的产品宣传推广和销售。</w:t>
            </w:r>
          </w:p>
        </w:tc>
        <w:tc>
          <w:tcPr>
            <w:tcW w:w="954" w:type="dxa"/>
            <w:noWrap w:val="0"/>
            <w:vAlign w:val="center"/>
          </w:tcPr>
          <w:p w14:paraId="4C28492C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</w:tr>
      <w:tr w14:paraId="23D9D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dxa"/>
            <w:noWrap w:val="0"/>
            <w:vAlign w:val="center"/>
          </w:tcPr>
          <w:p w14:paraId="6A3FFB23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357" w:type="dxa"/>
            <w:noWrap w:val="0"/>
            <w:vAlign w:val="center"/>
          </w:tcPr>
          <w:p w14:paraId="1F8B21C0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综合服务部牵头人</w:t>
            </w:r>
          </w:p>
        </w:tc>
        <w:tc>
          <w:tcPr>
            <w:tcW w:w="753" w:type="dxa"/>
            <w:noWrap w:val="0"/>
            <w:vAlign w:val="center"/>
          </w:tcPr>
          <w:p w14:paraId="3950B420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A5</w:t>
            </w:r>
          </w:p>
        </w:tc>
        <w:tc>
          <w:tcPr>
            <w:tcW w:w="4872" w:type="dxa"/>
            <w:noWrap w:val="0"/>
            <w:vAlign w:val="center"/>
          </w:tcPr>
          <w:p w14:paraId="4290B2F2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1.负责拟定和制定综合服务部的工作计划和目标，确保与公司战略的契合；</w:t>
            </w:r>
          </w:p>
          <w:p w14:paraId="7467E762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2.负责综合服务部的日常管理和运营，包括财务管理、人力资源管理、资产管理、法务管理、后勤管理、党风廉政、安全生产等；</w:t>
            </w:r>
          </w:p>
          <w:p w14:paraId="75EBC245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3.负责处理各部门间的工作协调督办，公文及会务管理，做好上传下达。</w:t>
            </w:r>
          </w:p>
          <w:p w14:paraId="44E7B1AF">
            <w:pPr>
              <w:spacing w:line="400" w:lineRule="exact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4.做好公司宣传账号的管理运营，确保公司对外宣传稿件的质量和效率。</w:t>
            </w:r>
          </w:p>
          <w:p w14:paraId="3FE5054E">
            <w:pPr>
              <w:spacing w:line="40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5.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负责公司实物产品的“进销存退”管理。</w:t>
            </w:r>
          </w:p>
        </w:tc>
        <w:tc>
          <w:tcPr>
            <w:tcW w:w="954" w:type="dxa"/>
            <w:noWrap w:val="0"/>
            <w:vAlign w:val="center"/>
          </w:tcPr>
          <w:p w14:paraId="4C6B93BB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</w:tr>
      <w:tr w14:paraId="5DE7F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568" w:type="dxa"/>
            <w:gridSpan w:val="4"/>
            <w:noWrap w:val="0"/>
            <w:vAlign w:val="center"/>
          </w:tcPr>
          <w:p w14:paraId="29503A30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954" w:type="dxa"/>
            <w:noWrap w:val="0"/>
            <w:vAlign w:val="center"/>
          </w:tcPr>
          <w:p w14:paraId="5820B7B3">
            <w:pPr>
              <w:spacing w:line="4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</w:tr>
    </w:tbl>
    <w:p w14:paraId="421810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F010E"/>
    <w:rsid w:val="66AF0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2025-05-20T00:58:00Z</dcterms:created>
  <dc:creator>Simply.</dc:creator>
  <cp:lastModifiedBy>Simply.</cp:lastModifiedBy>
  <dcterms:modified xsi:type="dcterms:W3CDTF">2025-05-20T00:59:23Z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85322E4F62594AAF814FC6277C167DB0_11</vt:lpwstr>
  </property>
  <property fmtid="{D5CDD505-2E9C-101B-9397-08002B2CF9AE}" pid="4" name="KSOTemplateDocerSaveRecord">
    <vt:lpwstr>eyJoZGlkIjoiODdkYWJmMTkxODBiYThlYzk5NGE2YWZhYzJmNThmNzkiLCJ1c2VySWQiOiIyNDQxNzY3NDgifQ==</vt:lpwstr>
  </property>
</Properties>
</file>